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2269" w:rsidRDefault="00C12269"/>
    <w:p w:rsidR="00223C97" w:rsidRDefault="00223C97" w:rsidP="00223C97">
      <w:pPr>
        <w:spacing w:after="105" w:line="750" w:lineRule="atLeast"/>
        <w:outlineLvl w:val="0"/>
        <w:rPr>
          <w:rFonts w:ascii="Arial" w:eastAsia="Times New Roman" w:hAnsi="Arial" w:cs="Arial"/>
          <w:color w:val="111111"/>
          <w:kern w:val="36"/>
          <w:sz w:val="62"/>
          <w:szCs w:val="62"/>
          <w:lang w:eastAsia="ru-RU"/>
        </w:rPr>
      </w:pPr>
      <w:r w:rsidRPr="00223C97">
        <w:rPr>
          <w:rFonts w:ascii="Arial" w:eastAsia="Times New Roman" w:hAnsi="Arial" w:cs="Arial"/>
          <w:color w:val="111111"/>
          <w:kern w:val="36"/>
          <w:sz w:val="62"/>
          <w:szCs w:val="62"/>
          <w:lang w:eastAsia="ru-RU"/>
        </w:rPr>
        <w:t>О</w:t>
      </w:r>
      <w:r>
        <w:rPr>
          <w:rFonts w:ascii="Arial" w:eastAsia="Times New Roman" w:hAnsi="Arial" w:cs="Arial"/>
          <w:color w:val="111111"/>
          <w:kern w:val="36"/>
          <w:sz w:val="62"/>
          <w:szCs w:val="62"/>
          <w:lang w:eastAsia="ru-RU"/>
        </w:rPr>
        <w:t>пределение объема земляных</w:t>
      </w:r>
    </w:p>
    <w:p w:rsidR="00223C97" w:rsidRPr="00223C97" w:rsidRDefault="00223C97" w:rsidP="00223C97">
      <w:pPr>
        <w:spacing w:after="105" w:line="750" w:lineRule="atLeast"/>
        <w:jc w:val="center"/>
        <w:outlineLvl w:val="0"/>
        <w:rPr>
          <w:rFonts w:ascii="Arial" w:eastAsia="Times New Roman" w:hAnsi="Arial" w:cs="Arial"/>
          <w:color w:val="111111"/>
          <w:kern w:val="36"/>
          <w:sz w:val="62"/>
          <w:szCs w:val="62"/>
          <w:lang w:eastAsia="ru-RU"/>
        </w:rPr>
      </w:pPr>
      <w:r>
        <w:rPr>
          <w:rFonts w:ascii="Arial" w:eastAsia="Times New Roman" w:hAnsi="Arial" w:cs="Arial"/>
          <w:color w:val="111111"/>
          <w:kern w:val="36"/>
          <w:sz w:val="62"/>
          <w:szCs w:val="62"/>
          <w:lang w:eastAsia="ru-RU"/>
        </w:rPr>
        <w:t>работ</w:t>
      </w:r>
    </w:p>
    <w:p w:rsidR="00223C97" w:rsidRPr="00223C97" w:rsidRDefault="00223C97" w:rsidP="00223C97">
      <w:pPr>
        <w:spacing w:after="105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"https://www.facebook.com/sharer.php?u=https%3A%2F%2Ftesrf.ru%2Fpodgotovitelnye-raboty%2Fopredelenie-obema-zemlyanyx-rabot.html" \o "Facebook"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after="105" w:line="240" w:lineRule="auto"/>
        <w:rPr>
          <w:rFonts w:ascii="Arial" w:eastAsia="Times New Roman" w:hAnsi="Arial" w:cs="Arial"/>
          <w:color w:val="FFFFFF"/>
          <w:sz w:val="17"/>
          <w:szCs w:val="17"/>
          <w:u w:val="single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twitter.com/intent/tweet?text=%D0%9E%D0%BF%D1%80%D0%B5%D0%B4%D0%B5%D0%BB%D0%B5%D0%BD%D0%B8%D0%B5+%D0%BE%D0%B1%D1%8A%D0%B5%D0%BC%D0%B0+%D0%B7%D0%B5%D0%BC%D0%BB%D1%8F%D0%BD%D1%8B%D1%85+%D1%80%D0%B0%D0%B1%D0%BE%D1%82&amp;url=https%3A%2F%2Ftesrf.ru%2Fpodgotovitelnye-raboty%2Fopredelenie-obema-zemlyanyx-rabot.html&amp;via=Tesrf.ru" \o "Twitter"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after="105" w:line="240" w:lineRule="auto"/>
        <w:rPr>
          <w:rFonts w:ascii="Arial" w:eastAsia="Times New Roman" w:hAnsi="Arial" w:cs="Arial"/>
          <w:color w:val="FFFFFF"/>
          <w:sz w:val="17"/>
          <w:szCs w:val="17"/>
          <w:u w:val="single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api.whatsapp.com/send?text=%D0%9E%D0%BF%D1%80%D0%B5%D0%B4%D0%B5%D0%BB%D0%B5%D0%BD%D0%B8%D0%B5+%D0%BE%D0%B1%D1%8A%D0%B5%D0%BC%D0%B0+%D0%B7%D0%B5%D0%BC%D0%BB%D1%8F%D0%BD%D1%8B%D1%85+%D1%80%D0%B0%D0%B1%D0%BE%D1%82%20%0A%0A%20https://tesrf.ru/podgotovitelnye-raboty/opredelenie-obema-zemlyanyx-rabot.html" \o "WhatsApp"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after="105" w:line="240" w:lineRule="auto"/>
        <w:rPr>
          <w:rFonts w:ascii="Arial" w:eastAsia="Times New Roman" w:hAnsi="Arial" w:cs="Arial"/>
          <w:color w:val="FFFFFF"/>
          <w:sz w:val="17"/>
          <w:szCs w:val="17"/>
          <w:u w:val="single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www.linkedin.com/shareArticle?mini=true&amp;url=https://tesrf.ru/podgotovitelnye-raboty/opredelenie-obema-zemlyanyx-rabot.html&amp;title=%D0%9E%D0%BF%D1%80%D0%B5%D0%B4%D0%B5%D0%BB%D0%B5%D0%BD%D0%B8%D0%B5+%D0%BE%D0%B1%D1%8A%D0%B5%D0%BC%D0%B0+%D0%B7%D0%B5%D0%BC%D0%BB%D1%8F%D0%BD%D1%8B%D1%85+%D1%80%D0%B0%D0%B1%D0%BE%D1%82" \o "Linkedin"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after="105" w:line="240" w:lineRule="auto"/>
        <w:rPr>
          <w:rFonts w:ascii="Arial" w:eastAsia="Times New Roman" w:hAnsi="Arial" w:cs="Arial"/>
          <w:color w:val="FFFFFF"/>
          <w:sz w:val="17"/>
          <w:szCs w:val="17"/>
          <w:u w:val="single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telegram.me/share/url?url=https://tesrf.ru/podgotovitelnye-raboty/opredelenie-obema-zemlyanyx-rabot.html&amp;text=%D0%9E%D0%BF%D1%80%D0%B5%D0%B4%D0%B5%D0%BB%D0%B5%D0%BD%D0%B8%D0%B5+%D0%BE%D0%B1%D1%8A%D0%B5%D0%BC%D0%B0+%D0%B7%D0%B5%D0%BC%D0%BB%D1%8F%D0%BD%D1%8B%D1%85+%D1%80%D0%B0%D0%B1%D0%BE%D1%82" \o "Telegram"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after="105" w:line="240" w:lineRule="auto"/>
        <w:rPr>
          <w:rFonts w:ascii="Arial" w:eastAsia="Times New Roman" w:hAnsi="Arial" w:cs="Arial"/>
          <w:color w:val="FFFFFF"/>
          <w:sz w:val="17"/>
          <w:szCs w:val="17"/>
          <w:u w:val="single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"https://vk.com/share.php?url=https://tesrf.ru/podgotovitelnye-raboty/opredelenie-obema-zemlyanyx-rabot.html" \o "VK" </w:instrText>
      </w: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</w:p>
    <w:p w:rsidR="00223C97" w:rsidRPr="00223C97" w:rsidRDefault="00223C97" w:rsidP="00223C97">
      <w:pPr>
        <w:spacing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23C97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</w:p>
    <w:p w:rsidR="00223C97" w:rsidRDefault="00223C97" w:rsidP="00223C97">
      <w:pPr>
        <w:spacing w:after="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noProof/>
          <w:color w:val="38A6C1"/>
          <w:sz w:val="23"/>
          <w:szCs w:val="23"/>
          <w:lang w:eastAsia="ru-RU"/>
        </w:rPr>
        <w:drawing>
          <wp:inline distT="0" distB="0" distL="0" distR="0">
            <wp:extent cx="4724400" cy="3122448"/>
            <wp:effectExtent l="0" t="0" r="0" b="1905"/>
            <wp:docPr id="2" name="Рисунок 2" descr="Выемка грунта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ыемка грунта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564" cy="3125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C97" w:rsidRPr="00223C97" w:rsidRDefault="00223C97" w:rsidP="00223C97">
      <w:pPr>
        <w:spacing w:after="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Выемка грунта для укладки трубопровода и подсчета объемов земляных работ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Объем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земляных работ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необходимо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определять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для того, чтобы обоснованно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выбрать методы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 xml:space="preserve">и средства их выполнения, установить необходимость транспортирования или возможности </w:t>
      </w:r>
      <w:proofErr w:type="gramStart"/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распре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деления</w:t>
      </w:r>
      <w:proofErr w:type="gramEnd"/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вынутого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из котлованов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или траншей грунта на прилегающей территории и последующего его использования для устройства обратных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засыпок,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вычислить стоимость земляных работ.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Земляные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работы по сравнению с другими работами на строительной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площадке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являются наиболее трудоемкими и поэтому выполняются механизированным способом. И только в отдельных случаях,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когда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не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представляется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возможным использовать механизмы, применяется ручной труд в небольших объемах.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lastRenderedPageBreak/>
        <w:t>Срезка растительного слоя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Объем работ по срезке растительного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слоя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определяется по формуле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V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С.Р.С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=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L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*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B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*0,2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202020"/>
          <w:sz w:val="23"/>
          <w:szCs w:val="23"/>
          <w:lang w:val="en-US" w:eastAsia="ru-RU"/>
        </w:rPr>
        <w:t>V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 —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объем срезки растительного слоя, м</w:t>
      </w:r>
      <w:r w:rsidRPr="00223C97">
        <w:rPr>
          <w:rFonts w:ascii="Verdana" w:eastAsia="Times New Roman" w:hAnsi="Verdana" w:cs="Times New Roman"/>
          <w:color w:val="000000"/>
          <w:sz w:val="17"/>
          <w:szCs w:val="17"/>
          <w:vertAlign w:val="superscript"/>
          <w:lang w:eastAsia="ru-RU"/>
        </w:rPr>
        <w:t>3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L</w:t>
      </w:r>
      <w:r w:rsidRPr="00223C97">
        <w:rPr>
          <w:rFonts w:ascii="Verdana" w:eastAsia="Times New Roman" w:hAnsi="Verdana" w:cs="Times New Roman"/>
          <w:i/>
          <w:iCs/>
          <w:color w:val="000000"/>
          <w:sz w:val="23"/>
          <w:szCs w:val="23"/>
          <w:lang w:eastAsia="ru-RU"/>
        </w:rPr>
        <w:t> —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длина трас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softHyphen/>
        <w:t>сы, м;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В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— ширина рабочей зоны, м;</w:t>
      </w:r>
      <w:bookmarkStart w:id="0" w:name="_GoBack"/>
      <w:bookmarkEnd w:id="0"/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В = А + М + Б + 1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А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i/>
          <w:iCs/>
          <w:color w:val="000000"/>
          <w:sz w:val="23"/>
          <w:szCs w:val="23"/>
          <w:lang w:eastAsia="ru-RU"/>
        </w:rPr>
        <w:t>—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ширина траншеи поверху, м;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М </w:t>
      </w:r>
      <w:r w:rsidRPr="00223C97">
        <w:rPr>
          <w:rFonts w:ascii="Verdana" w:eastAsia="Times New Roman" w:hAnsi="Verdana" w:cs="Times New Roman"/>
          <w:i/>
          <w:iCs/>
          <w:color w:val="000000"/>
          <w:sz w:val="23"/>
          <w:szCs w:val="23"/>
          <w:lang w:eastAsia="ru-RU"/>
        </w:rPr>
        <w:t>—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 рабочая зона монтажного механизма, используемого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для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укладки труб, м,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Б </w:t>
      </w:r>
      <w:r w:rsidRPr="00223C97">
        <w:rPr>
          <w:rFonts w:ascii="Verdana" w:eastAsia="Times New Roman" w:hAnsi="Verdana" w:cs="Times New Roman"/>
          <w:i/>
          <w:iCs/>
          <w:color w:val="000000"/>
          <w:sz w:val="23"/>
          <w:szCs w:val="23"/>
          <w:lang w:eastAsia="ru-RU"/>
        </w:rPr>
        <w:t>—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 зона складирования грунта, м;</w:t>
      </w:r>
    </w:p>
    <w:p w:rsid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572000" cy="2557463"/>
            <wp:effectExtent l="0" t="0" r="0" b="0"/>
            <wp:docPr id="3" name="Рисунок 3" descr="https://tesrf.ru/wp-content/uploads/2011/06/%d0%a1%d1%85%d0%b5%d0%bc%d0%b0-%d0%be%d0%bf%d1%80%d0%b5%d0%b4%d0%b5%d0%bb%d0%b5%d0%bd%d0%b8%d1%8f-%d1%88%d0%b8%d1%80%d0%b8%d0%bd%d1%8b-%d1%80%d0%b0%d0%b1%d0%be%d1%87%d0%b5%d0%b9-%d0%b7%d0%be%d0%bd%d1%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esrf.ru/wp-content/uploads/2011/06/%d0%a1%d1%85%d0%b5%d0%bc%d0%b0-%d0%be%d0%bf%d1%80%d0%b5%d0%b4%d0%b5%d0%bb%d0%b5%d0%bd%d0%b8%d1%8f-%d1%88%d0%b8%d1%80%d0%b8%d0%bd%d1%8b-%d1%80%d0%b0%d0%b1%d0%be%d1%87%d0%b5%d0%b9-%d0%b7%d0%be%d0%bd%d1%8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2795" cy="260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  <w:t>Схема определения ширины рабочей зоны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  <w:t>Б = 2*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val="en-US" w:eastAsia="ru-RU"/>
        </w:rPr>
        <w:t>K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17"/>
          <w:szCs w:val="17"/>
          <w:vertAlign w:val="subscript"/>
          <w:lang w:val="en-US" w:eastAsia="ru-RU"/>
        </w:rPr>
        <w:t>P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  <w:t>*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val="en-US" w:eastAsia="ru-RU"/>
        </w:rPr>
        <w:t>V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eastAsia="ru-RU"/>
        </w:rPr>
        <w:t> / 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val="en-US" w:eastAsia="ru-RU"/>
        </w:rPr>
        <w:t>h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23"/>
          <w:szCs w:val="23"/>
          <w:lang w:val="en-US" w:eastAsia="ru-RU"/>
        </w:rPr>
        <w:t>K</w:t>
      </w:r>
      <w:r w:rsidRPr="00223C97">
        <w:rPr>
          <w:rFonts w:ascii="Verdana" w:eastAsia="Times New Roman" w:hAnsi="Verdana" w:cs="Times New Roman"/>
          <w:b/>
          <w:bCs/>
          <w:i/>
          <w:iCs/>
          <w:color w:val="222222"/>
          <w:sz w:val="17"/>
          <w:szCs w:val="17"/>
          <w:vertAlign w:val="subscript"/>
          <w:lang w:val="en-US" w:eastAsia="ru-RU"/>
        </w:rPr>
        <w:t>P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 – коэффициент разрыхления грунта;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V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– объем грунта 1 м траншей, м</w:t>
      </w:r>
      <w:r w:rsidRPr="00223C97">
        <w:rPr>
          <w:rFonts w:ascii="Verdana" w:eastAsia="Times New Roman" w:hAnsi="Verdana" w:cs="Times New Roman"/>
          <w:color w:val="000000"/>
          <w:sz w:val="17"/>
          <w:szCs w:val="17"/>
          <w:vertAlign w:val="superscript"/>
          <w:lang w:eastAsia="ru-RU"/>
        </w:rPr>
        <w:t>3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lastRenderedPageBreak/>
        <w:t>h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—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принимаемая высота отвала, м, (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h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= 1,5 – 2 —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средняя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толщина растительного слоя, м)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Для основных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производственных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процессов объемы разрабатываемого грунта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определяют в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плотном теле. Подсчет объемов сво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дится к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определению объемов различных геометрических фигур, составляющих </w:t>
      </w: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то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или иное сооружение.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202020"/>
          <w:sz w:val="23"/>
          <w:szCs w:val="23"/>
          <w:lang w:eastAsia="ru-RU"/>
        </w:rPr>
        <w:t>Для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подсчета земляных работ по отрывке траншеи необходимо на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всех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пикетах, а также в точках перехода трубопровода на другой диаметр, перелома продольного профиля трассы определить поперечные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сечения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траншеи.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 xml:space="preserve">Тогда объем выемки грунта согласно </w:t>
      </w:r>
      <w:proofErr w:type="gramStart"/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рисунку</w:t>
      </w:r>
      <w:proofErr w:type="gramEnd"/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определяется по формуле: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V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= ((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F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+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F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П+1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) / 2) *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L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F</w:t>
      </w:r>
      <w:proofErr w:type="gramStart"/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,</w:t>
      </w:r>
      <w:proofErr w:type="gramEnd"/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F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П+1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— площадь поперечного сечения в характерных точках траншеи, м</w:t>
      </w:r>
      <w:r w:rsidRPr="00223C97">
        <w:rPr>
          <w:rFonts w:ascii="Verdana" w:eastAsia="Times New Roman" w:hAnsi="Verdana" w:cs="Times New Roman"/>
          <w:color w:val="000000"/>
          <w:sz w:val="17"/>
          <w:szCs w:val="17"/>
          <w:vertAlign w:val="superscript"/>
          <w:lang w:eastAsia="ru-RU"/>
        </w:rPr>
        <w:t>2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;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val="en-US" w:eastAsia="ru-RU"/>
        </w:rPr>
        <w:t>L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17"/>
          <w:szCs w:val="17"/>
          <w:vertAlign w:val="subscript"/>
          <w:lang w:eastAsia="ru-RU"/>
        </w:rPr>
        <w:t>П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i/>
          <w:iCs/>
          <w:color w:val="000000"/>
          <w:sz w:val="23"/>
          <w:szCs w:val="23"/>
          <w:lang w:eastAsia="ru-RU"/>
        </w:rPr>
        <w:t>—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длина траншеи между этими точками, м.</w:t>
      </w:r>
    </w:p>
    <w:p w:rsidR="00223C97" w:rsidRPr="00223C97" w:rsidRDefault="00223C97" w:rsidP="00223C97">
      <w:pPr>
        <w:spacing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noProof/>
          <w:color w:val="38A6C1"/>
          <w:sz w:val="23"/>
          <w:szCs w:val="23"/>
          <w:lang w:eastAsia="ru-RU"/>
        </w:rPr>
        <w:drawing>
          <wp:inline distT="0" distB="0" distL="0" distR="0">
            <wp:extent cx="4229100" cy="3890772"/>
            <wp:effectExtent l="0" t="0" r="0" b="0"/>
            <wp:docPr id="1" name="Рисунок 1" descr="https://www.tesrf.ru/wp-content/uploads/2011/06/%D0%A1%D1%85%D0%B5%D0%BC%D0%B0-%D0%BE%D0%BF%D1%80%D0%B5%D0%B4%D0%B5%D0%BB%D0%B5%D0%BD%D0%B8%D1%8F-%D0%BE%D0%B1%D1%8A%D0%B5%D0%BC%D0%B0-%D1%82%D1%80%D0%B0%D0%BD%D1%88%D0%B5%D0%B8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tesrf.ru/wp-content/uploads/2011/06/%D0%A1%D1%85%D0%B5%D0%BC%D0%B0-%D0%BE%D0%BF%D1%80%D0%B5%D0%B4%D0%B5%D0%BB%D0%B5%D0%BD%D0%B8%D1%8F-%D0%BE%D0%B1%D1%8A%D0%B5%D0%BC%D0%B0-%D1%82%D1%80%D0%B0%D0%BD%D1%88%D0%B5%D0%B8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255" cy="391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Схема определения объема траншеи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lastRenderedPageBreak/>
        <w:t>Ширину траншеи по дну и ее глубину определяют согласно СНиП 3.02.01-87 в зависимости от конструктивных особенностей линейно-протяженного сооружения и методов производства работ.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 xml:space="preserve">В объем земляных работ необходимо включить отрывку приямков при </w:t>
      </w:r>
      <w:proofErr w:type="spellStart"/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бесканальной</w:t>
      </w:r>
      <w:proofErr w:type="spellEnd"/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 xml:space="preserve"> прокладке тепловых сетей, а также котлованов под камеры и колодцы. При сложных формах выемок их разбивают на более простые геометрические тела, производят подсчет их объемов, которые затем суммируют.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При подсчете объемов земляных работ следует выделить объем избыточного грунта, вытесняемого трубопроводами, колодцами, камерами, подъем грунта, образовавшегося за счет остаточного рыхления, который в свою очередь, равен объему засыпки, умноженному на коэффициент остаточного разрыхления грунта.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Для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получения объема планировочных работ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всю площадь на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плане с горизонталями (генплан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трассы) разбивают на элементарные участки, по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каждому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из них подсчитывают объем грунта и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результаты суммируют.</w:t>
      </w:r>
    </w:p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262626"/>
          <w:sz w:val="23"/>
          <w:szCs w:val="23"/>
          <w:lang w:eastAsia="ru-RU"/>
        </w:rPr>
        <w:t>Показатели разрыхления грунта</w:t>
      </w:r>
    </w:p>
    <w:tbl>
      <w:tblPr>
        <w:tblW w:w="8505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0"/>
        <w:gridCol w:w="3823"/>
        <w:gridCol w:w="2832"/>
      </w:tblGrid>
      <w:tr w:rsidR="00223C97" w:rsidRPr="00223C97" w:rsidTr="00223C97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Грунт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Первоначальное увеличение объема грунта после разработки, %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Остаточное разрыхление грунта, %</w:t>
            </w:r>
          </w:p>
        </w:tc>
      </w:tr>
      <w:tr w:rsidR="00223C97" w:rsidRPr="00223C97" w:rsidTr="00223C97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Глина ломовая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28-23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</w:tr>
      <w:tr w:rsidR="00223C97" w:rsidRPr="00223C97" w:rsidTr="00223C97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Суглинок легкий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18-24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3-5</w:t>
            </w:r>
          </w:p>
        </w:tc>
      </w:tr>
      <w:tr w:rsidR="00223C97" w:rsidRPr="00223C97" w:rsidTr="00223C97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Песчаный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2-5</w:t>
            </w:r>
          </w:p>
        </w:tc>
      </w:tr>
      <w:tr w:rsidR="00223C97" w:rsidRPr="00223C97" w:rsidTr="00223C97"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Насыпной неуплотненный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:rsidR="00223C97" w:rsidRPr="00223C97" w:rsidRDefault="00223C97" w:rsidP="00223C97">
            <w:pPr>
              <w:spacing w:after="39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3C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3-6</w:t>
            </w:r>
          </w:p>
        </w:tc>
      </w:tr>
    </w:tbl>
    <w:p w:rsidR="00223C97" w:rsidRPr="00223C97" w:rsidRDefault="00223C97" w:rsidP="00223C97">
      <w:pPr>
        <w:spacing w:after="390" w:line="240" w:lineRule="auto"/>
        <w:jc w:val="center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Основные способы разработки грунта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Земляные работы могут выполняться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вручную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и механизированными способами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— 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меха</w:t>
      </w: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softHyphen/>
        <w:t>ническим, гидромеханическим, взрывным и комбинированным.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Разработка грунта вручную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допускается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 xml:space="preserve">только в тех случаях, когда по каким-либо объективным причинам не могут быть использованы землеройные и другие механизмы и объемы работ малы. Так, для рытья приямков под стыки плетей трубопроводов или для подчистки оснований 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lastRenderedPageBreak/>
        <w:t>узких траншей из-за стесненных условий и малого объема работ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механизмы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не могут быть применены, и поэтому используют ручной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труд.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b/>
          <w:bCs/>
          <w:i/>
          <w:iCs/>
          <w:color w:val="000000"/>
          <w:sz w:val="23"/>
          <w:szCs w:val="23"/>
          <w:lang w:eastAsia="ru-RU"/>
        </w:rPr>
        <w:t>Механическим способом,</w:t>
      </w:r>
      <w:r w:rsidRPr="00223C97"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  <w:t>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при котором на грунт действуют усилием резания различных машин, выполняют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до 85%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объемов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земляных </w:t>
      </w: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работ.</w:t>
      </w:r>
    </w:p>
    <w:p w:rsidR="00223C97" w:rsidRPr="00223C97" w:rsidRDefault="00223C97" w:rsidP="00223C97">
      <w:pPr>
        <w:spacing w:after="390" w:line="240" w:lineRule="auto"/>
        <w:rPr>
          <w:rFonts w:ascii="Verdana" w:eastAsia="Times New Roman" w:hAnsi="Verdana" w:cs="Times New Roman"/>
          <w:color w:val="222222"/>
          <w:sz w:val="23"/>
          <w:szCs w:val="23"/>
          <w:lang w:eastAsia="ru-RU"/>
        </w:rPr>
      </w:pPr>
      <w:r w:rsidRPr="00223C97">
        <w:rPr>
          <w:rFonts w:ascii="Verdana" w:eastAsia="Times New Roman" w:hAnsi="Verdana" w:cs="Times New Roman"/>
          <w:color w:val="000000"/>
          <w:sz w:val="23"/>
          <w:szCs w:val="23"/>
          <w:lang w:eastAsia="ru-RU"/>
        </w:rPr>
        <w:t>Выбор гидромеханического, взрывного и комбинированного способов разработки грунта зависит от конкретных </w:t>
      </w:r>
      <w:r w:rsidRPr="00223C97">
        <w:rPr>
          <w:rFonts w:ascii="Verdana" w:eastAsia="Times New Roman" w:hAnsi="Verdana" w:cs="Times New Roman"/>
          <w:color w:val="262626"/>
          <w:sz w:val="23"/>
          <w:szCs w:val="23"/>
          <w:lang w:eastAsia="ru-RU"/>
        </w:rPr>
        <w:t>условий строительства</w:t>
      </w:r>
    </w:p>
    <w:p w:rsidR="00223C97" w:rsidRDefault="00223C97"/>
    <w:sectPr w:rsidR="00223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6F3"/>
    <w:rsid w:val="00223C97"/>
    <w:rsid w:val="007116F3"/>
    <w:rsid w:val="00C1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71695"/>
  <w15:chartTrackingRefBased/>
  <w15:docId w15:val="{AEAD4E3C-AFA4-448D-91BA-73AB16CD9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23C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3C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23C97"/>
    <w:rPr>
      <w:color w:val="0000FF"/>
      <w:u w:val="single"/>
    </w:rPr>
  </w:style>
  <w:style w:type="character" w:customStyle="1" w:styleId="td-post-date">
    <w:name w:val="td-post-date"/>
    <w:basedOn w:val="a0"/>
    <w:rsid w:val="00223C97"/>
  </w:style>
  <w:style w:type="paragraph" w:styleId="a4">
    <w:name w:val="Normal (Web)"/>
    <w:basedOn w:val="a"/>
    <w:uiPriority w:val="99"/>
    <w:semiHidden/>
    <w:unhideWhenUsed/>
    <w:rsid w:val="00223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as-text-align-center">
    <w:name w:val="has-text-align-center"/>
    <w:basedOn w:val="a"/>
    <w:rsid w:val="00223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3C97"/>
    <w:rPr>
      <w:b/>
      <w:bCs/>
    </w:rPr>
  </w:style>
  <w:style w:type="character" w:styleId="a6">
    <w:name w:val="Emphasis"/>
    <w:basedOn w:val="a0"/>
    <w:uiPriority w:val="20"/>
    <w:qFormat/>
    <w:rsid w:val="00223C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35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560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1713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76518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348051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07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00654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536303">
              <w:marLeft w:val="-45"/>
              <w:marRight w:val="-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90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04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23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07293">
              <w:marLeft w:val="0"/>
              <w:marRight w:val="0"/>
              <w:marTop w:val="0"/>
              <w:marBottom w:val="3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srf.ru/wp-content/uploads/2011/06/%D0%A1%D1%85%D0%B5%D0%BC%D0%B0-%D0%BE%D0%BF%D1%80%D0%B5%D0%B4%D0%B5%D0%BB%D0%B5%D0%BD%D0%B8%D1%8F-%D0%BE%D0%B1%D1%8A%D0%B5%D0%BC%D0%B0-%D1%82%D1%80%D0%B0%D0%BD%D1%88%D0%B5%D0%B8.jpg" TargetMode="Externa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hdphoto" Target="media/hdphoto2.wdp"/><Relationship Id="rId4" Type="http://schemas.openxmlformats.org/officeDocument/2006/relationships/hyperlink" Target="https://tesrf.ru/wp-content/uploads/2011/06/Vyemka-grunta.jpg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846</Words>
  <Characters>4823</Characters>
  <Application>Microsoft Office Word</Application>
  <DocSecurity>0</DocSecurity>
  <Lines>40</Lines>
  <Paragraphs>11</Paragraphs>
  <ScaleCrop>false</ScaleCrop>
  <Company>diakov.net</Company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2023-11-17T03:37:00Z</dcterms:created>
  <dcterms:modified xsi:type="dcterms:W3CDTF">2023-11-17T03:42:00Z</dcterms:modified>
</cp:coreProperties>
</file>